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E902C3">
      <w:pPr>
        <w:pStyle w:val="Heading4"/>
        <w:jc w:val="center"/>
        <w:divId w:val="650643666"/>
        <w:rPr>
          <w:rFonts w:ascii="Calibri" w:eastAsia="Times New Roman" w:hAnsi="Calibri" w:cs="Calibri"/>
        </w:rPr>
      </w:pPr>
      <w:r>
        <w:rPr>
          <w:rFonts w:ascii="Calibri" w:eastAsia="Times New Roman" w:hAnsi="Calibri" w:cs="Calibri"/>
        </w:rPr>
        <w:t>PHL 110 Introduction to Philosophy: Knowledge, Reality, and the Self</w:t>
      </w:r>
    </w:p>
    <w:p w:rsidR="00000000" w:rsidRDefault="00E902C3" w:rsidP="00274D10">
      <w:pPr>
        <w:pStyle w:val="Heading4"/>
        <w:divId w:val="650643666"/>
        <w:rPr>
          <w:rFonts w:ascii="Calibri" w:eastAsia="Times New Roman" w:hAnsi="Calibri" w:cs="Calibri"/>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70"/>
        <w:gridCol w:w="1829"/>
        <w:gridCol w:w="1199"/>
        <w:gridCol w:w="4407"/>
      </w:tblGrid>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Faculty Name(s)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Joseph Van </w:t>
            </w:r>
            <w:proofErr w:type="spellStart"/>
            <w:r>
              <w:rPr>
                <w:rFonts w:eastAsia="Times New Roman"/>
                <w:color w:val="000000"/>
              </w:rPr>
              <w:t>Weelden</w:t>
            </w:r>
            <w:proofErr w:type="spellEnd"/>
            <w:r>
              <w:rPr>
                <w:rFonts w:eastAsia="Times New Roman"/>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Contact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joseph.vanweelden@ahduni.edu.in </w:t>
            </w: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School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School of Arts and Sciences </w:t>
            </w: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Credits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3</w:t>
            </w: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Prerequisite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None </w:t>
            </w: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Course Description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Pr="00274D10" w:rsidRDefault="00E902C3">
            <w:pPr>
              <w:rPr>
                <w:rFonts w:eastAsia="Times New Roman"/>
              </w:rPr>
            </w:pPr>
            <w:r>
              <w:rPr>
                <w:rFonts w:eastAsia="Times New Roman"/>
                <w:color w:val="000000"/>
              </w:rPr>
              <w:t>This course is an introduction to core problems in metaphysics (the branch of philosophy concerned with the nature of reality) and epistemology (the branch of philosophy concerned with what we know and how we know it). Topics discussed will include rationa</w:t>
            </w:r>
            <w:r>
              <w:rPr>
                <w:rFonts w:eastAsia="Times New Roman"/>
                <w:color w:val="000000"/>
              </w:rPr>
              <w:t xml:space="preserve">lism vs empiricism, the relationship between the mental and the physical, personal identity, and skepticism. Authors discussed will include Descartes, Hume, </w:t>
            </w:r>
            <w:r w:rsidR="00274D10" w:rsidRPr="00274D10">
              <w:rPr>
                <w:color w:val="202122"/>
                <w:shd w:val="clear" w:color="auto" w:fill="FFFFFF"/>
              </w:rPr>
              <w:t>Nāgārjuna</w:t>
            </w:r>
            <w:r>
              <w:rPr>
                <w:rFonts w:eastAsia="Times New Roman"/>
                <w:color w:val="000000"/>
              </w:rPr>
              <w:t>, and Plato. We will close the course with an examination of how the above philosophical t</w:t>
            </w:r>
            <w:r>
              <w:rPr>
                <w:rFonts w:eastAsia="Times New Roman"/>
                <w:color w:val="000000"/>
              </w:rPr>
              <w:t xml:space="preserve">hemes are reflected in the novel </w:t>
            </w:r>
            <w:r>
              <w:rPr>
                <w:rFonts w:eastAsia="Times New Roman"/>
                <w:color w:val="000000"/>
                <w:u w:val="single"/>
              </w:rPr>
              <w:t>Blindsight</w:t>
            </w:r>
            <w:r>
              <w:rPr>
                <w:rFonts w:eastAsia="Times New Roman"/>
                <w:color w:val="000000"/>
              </w:rPr>
              <w:t xml:space="preserve"> by Peter Watts. </w:t>
            </w: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Course Objectives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To familiarize students with the aims and methods of philosophical inquiry. </w:t>
            </w:r>
          </w:p>
          <w:p w:rsidR="00000000" w:rsidRDefault="00E902C3">
            <w:pPr>
              <w:divId w:val="1043674369"/>
              <w:rPr>
                <w:rFonts w:eastAsia="Times New Roman"/>
                <w:color w:val="000000"/>
              </w:rPr>
            </w:pPr>
            <w:r>
              <w:rPr>
                <w:rFonts w:eastAsia="Times New Roman"/>
                <w:color w:val="000000"/>
              </w:rPr>
              <w:t xml:space="preserve">To expose students to a selection of classic philosophical problems. </w:t>
            </w:r>
          </w:p>
          <w:p w:rsidR="00000000" w:rsidRDefault="00E902C3">
            <w:pPr>
              <w:divId w:val="213389054"/>
              <w:rPr>
                <w:rFonts w:eastAsia="Times New Roman"/>
                <w:color w:val="000000"/>
              </w:rPr>
            </w:pPr>
            <w:r>
              <w:rPr>
                <w:rFonts w:eastAsia="Times New Roman"/>
                <w:color w:val="000000"/>
              </w:rPr>
              <w:t>To introduce students to s</w:t>
            </w:r>
            <w:r>
              <w:rPr>
                <w:rFonts w:eastAsia="Times New Roman"/>
                <w:color w:val="000000"/>
              </w:rPr>
              <w:t xml:space="preserve">eminal theories, texts and figures in the history of philosophy. </w:t>
            </w:r>
          </w:p>
          <w:p w:rsidR="00000000" w:rsidRDefault="00E902C3">
            <w:pPr>
              <w:divId w:val="988366536"/>
              <w:rPr>
                <w:rFonts w:eastAsia="Times New Roman"/>
                <w:color w:val="000000"/>
              </w:rPr>
            </w:pPr>
            <w:r>
              <w:rPr>
                <w:rFonts w:eastAsia="Times New Roman"/>
                <w:color w:val="000000"/>
              </w:rPr>
              <w:t xml:space="preserve">To illustrate the way in which our responses to metaphysical and epistemological questions reflect, and shape, our conceptions of ourselves. </w:t>
            </w:r>
          </w:p>
          <w:p w:rsidR="00000000" w:rsidRDefault="00E902C3">
            <w:pPr>
              <w:divId w:val="2146308252"/>
              <w:rPr>
                <w:rFonts w:eastAsia="Times New Roman"/>
                <w:color w:val="000000"/>
              </w:rPr>
            </w:pPr>
          </w:p>
          <w:p w:rsidR="00000000" w:rsidRDefault="00E902C3">
            <w:pPr>
              <w:divId w:val="795294714"/>
              <w:rPr>
                <w:rFonts w:eastAsia="Times New Roman"/>
                <w:color w:val="000000"/>
              </w:rPr>
            </w:pP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Learning Outcomes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Upon completion of the</w:t>
            </w:r>
            <w:r>
              <w:rPr>
                <w:rFonts w:eastAsia="Times New Roman"/>
                <w:color w:val="000000"/>
              </w:rPr>
              <w:t xml:space="preserve"> course the student will be able to: </w:t>
            </w:r>
          </w:p>
          <w:p w:rsidR="00000000" w:rsidRDefault="00E902C3">
            <w:pPr>
              <w:divId w:val="308285111"/>
              <w:rPr>
                <w:rFonts w:eastAsia="Times New Roman"/>
                <w:color w:val="000000"/>
              </w:rPr>
            </w:pPr>
            <w:r>
              <w:rPr>
                <w:rFonts w:eastAsia="Times New Roman"/>
                <w:color w:val="000000"/>
              </w:rPr>
              <w:t xml:space="preserve">1. Identify and describe some fundamental philosophical problems, along with the classical philosophical answers to these problems. </w:t>
            </w:r>
          </w:p>
          <w:p w:rsidR="00000000" w:rsidRDefault="00E902C3">
            <w:pPr>
              <w:divId w:val="252473803"/>
              <w:rPr>
                <w:rFonts w:eastAsia="Times New Roman"/>
                <w:color w:val="000000"/>
              </w:rPr>
            </w:pPr>
            <w:r>
              <w:rPr>
                <w:rFonts w:eastAsia="Times New Roman"/>
                <w:color w:val="000000"/>
              </w:rPr>
              <w:t>2. Distinguish among various philosophical theories, and offer an informed and critic</w:t>
            </w:r>
            <w:r>
              <w:rPr>
                <w:rFonts w:eastAsia="Times New Roman"/>
                <w:color w:val="000000"/>
              </w:rPr>
              <w:t xml:space="preserve">al assessment of their strengths and weaknesses.. </w:t>
            </w:r>
          </w:p>
          <w:p w:rsidR="00000000" w:rsidRDefault="00E902C3">
            <w:pPr>
              <w:divId w:val="847871633"/>
              <w:rPr>
                <w:rFonts w:eastAsia="Times New Roman"/>
                <w:color w:val="000000"/>
              </w:rPr>
            </w:pPr>
            <w:r>
              <w:rPr>
                <w:rFonts w:eastAsia="Times New Roman"/>
                <w:color w:val="000000"/>
              </w:rPr>
              <w:t>3. Understand key figures, traditions, and trends in the history of philosophy.</w:t>
            </w:r>
          </w:p>
          <w:p w:rsidR="00000000" w:rsidRDefault="00E902C3">
            <w:pPr>
              <w:divId w:val="798451856"/>
              <w:rPr>
                <w:rFonts w:eastAsia="Times New Roman"/>
                <w:color w:val="000000"/>
              </w:rPr>
            </w:pPr>
            <w:r>
              <w:rPr>
                <w:rFonts w:eastAsia="Times New Roman"/>
                <w:color w:val="000000"/>
              </w:rPr>
              <w:t>4. Pick out, and then reconstruct, the main argument(s) put forward within a given philosophical text.</w:t>
            </w:r>
          </w:p>
          <w:p w:rsidR="00000000" w:rsidRDefault="00E902C3">
            <w:pPr>
              <w:divId w:val="1936863016"/>
              <w:rPr>
                <w:rFonts w:eastAsia="Times New Roman"/>
                <w:color w:val="000000"/>
              </w:rPr>
            </w:pPr>
            <w:r>
              <w:rPr>
                <w:rFonts w:eastAsia="Times New Roman"/>
                <w:color w:val="000000"/>
              </w:rPr>
              <w:t>5. Identify an argumen</w:t>
            </w:r>
            <w:r>
              <w:rPr>
                <w:rFonts w:eastAsia="Times New Roman"/>
                <w:color w:val="000000"/>
              </w:rPr>
              <w:t xml:space="preserve">t's premises and conclusion, and evaluate its validity and soundness. </w:t>
            </w:r>
          </w:p>
          <w:p w:rsidR="00000000" w:rsidRDefault="00E902C3">
            <w:pPr>
              <w:divId w:val="687145174"/>
              <w:rPr>
                <w:rFonts w:eastAsia="Times New Roman"/>
                <w:color w:val="000000"/>
              </w:rPr>
            </w:pP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Pedagogy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Lectures, class discussion, group activities. </w:t>
            </w: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Expectation From Students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Maintain an inclusive and respectful classroom environment, where no student is made to feel unwelcome or uncomfortable. </w:t>
            </w:r>
          </w:p>
          <w:p w:rsidR="00000000" w:rsidRDefault="00E902C3">
            <w:pPr>
              <w:divId w:val="649602383"/>
              <w:rPr>
                <w:rFonts w:eastAsia="Times New Roman"/>
                <w:color w:val="000000"/>
              </w:rPr>
            </w:pPr>
            <w:r>
              <w:rPr>
                <w:rFonts w:eastAsia="Times New Roman"/>
                <w:color w:val="000000"/>
              </w:rPr>
              <w:t xml:space="preserve">Complete all course readings in advance of the session (s) in which we are to discuss them. </w:t>
            </w:r>
          </w:p>
          <w:p w:rsidR="00000000" w:rsidRDefault="00E902C3">
            <w:pPr>
              <w:divId w:val="1445879350"/>
              <w:rPr>
                <w:rFonts w:eastAsia="Times New Roman"/>
                <w:color w:val="000000"/>
              </w:rPr>
            </w:pPr>
            <w:r>
              <w:rPr>
                <w:rFonts w:eastAsia="Times New Roman"/>
                <w:color w:val="000000"/>
              </w:rPr>
              <w:t>Be an active participant in the course (t</w:t>
            </w:r>
            <w:r>
              <w:rPr>
                <w:rFonts w:eastAsia="Times New Roman"/>
                <w:color w:val="000000"/>
              </w:rPr>
              <w:t xml:space="preserve">hrough contribution to class discussion etc.). </w:t>
            </w:r>
          </w:p>
          <w:p w:rsidR="00000000" w:rsidRDefault="00E902C3">
            <w:pPr>
              <w:divId w:val="1788965684"/>
              <w:rPr>
                <w:rFonts w:eastAsia="Times New Roman"/>
                <w:color w:val="000000"/>
              </w:rPr>
            </w:pP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Assessment/Evaluation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74D10" w:rsidRDefault="00E902C3">
            <w:pPr>
              <w:numPr>
                <w:ilvl w:val="0"/>
                <w:numId w:val="1"/>
              </w:numPr>
              <w:spacing w:before="100" w:beforeAutospacing="1" w:after="100" w:afterAutospacing="1"/>
              <w:rPr>
                <w:rFonts w:eastAsia="Times New Roman"/>
                <w:color w:val="000000"/>
              </w:rPr>
            </w:pPr>
            <w:r>
              <w:rPr>
                <w:rFonts w:eastAsia="Times New Roman"/>
                <w:color w:val="000000"/>
              </w:rPr>
              <w:t>Class participation (Including attendance) [10%],</w:t>
            </w:r>
          </w:p>
          <w:p w:rsidR="00274D10" w:rsidRDefault="00E902C3">
            <w:pPr>
              <w:numPr>
                <w:ilvl w:val="0"/>
                <w:numId w:val="1"/>
              </w:numPr>
              <w:spacing w:before="100" w:beforeAutospacing="1" w:after="100" w:afterAutospacing="1"/>
              <w:rPr>
                <w:rFonts w:eastAsia="Times New Roman"/>
                <w:color w:val="000000"/>
              </w:rPr>
            </w:pPr>
            <w:r>
              <w:rPr>
                <w:rFonts w:eastAsia="Times New Roman"/>
                <w:color w:val="000000"/>
              </w:rPr>
              <w:t>Quiz</w:t>
            </w:r>
            <w:r w:rsidR="008D1D49">
              <w:rPr>
                <w:rFonts w:eastAsia="Times New Roman"/>
                <w:color w:val="000000"/>
              </w:rPr>
              <w:t>zes</w:t>
            </w:r>
            <w:r>
              <w:rPr>
                <w:rFonts w:eastAsia="Times New Roman"/>
                <w:color w:val="000000"/>
              </w:rPr>
              <w:t xml:space="preserve"> [20%]</w:t>
            </w:r>
          </w:p>
          <w:p w:rsidR="00000000" w:rsidRDefault="00E902C3">
            <w:pPr>
              <w:numPr>
                <w:ilvl w:val="0"/>
                <w:numId w:val="1"/>
              </w:numPr>
              <w:spacing w:before="100" w:beforeAutospacing="1" w:after="100" w:afterAutospacing="1"/>
              <w:rPr>
                <w:rFonts w:eastAsia="Times New Roman"/>
                <w:color w:val="000000"/>
              </w:rPr>
            </w:pPr>
            <w:r>
              <w:rPr>
                <w:rFonts w:eastAsia="Times New Roman"/>
                <w:color w:val="000000"/>
              </w:rPr>
              <w:t>Assignment</w:t>
            </w:r>
            <w:r w:rsidR="008D1D49">
              <w:rPr>
                <w:rFonts w:eastAsia="Times New Roman"/>
                <w:color w:val="000000"/>
              </w:rPr>
              <w:t>s</w:t>
            </w:r>
            <w:r>
              <w:rPr>
                <w:rFonts w:eastAsia="Times New Roman"/>
                <w:color w:val="000000"/>
              </w:rPr>
              <w:t xml:space="preserve"> [20%]</w:t>
            </w:r>
          </w:p>
          <w:p w:rsidR="00000000" w:rsidRDefault="00E902C3">
            <w:pPr>
              <w:numPr>
                <w:ilvl w:val="0"/>
                <w:numId w:val="1"/>
              </w:numPr>
              <w:spacing w:before="100" w:beforeAutospacing="1" w:after="100" w:afterAutospacing="1"/>
              <w:rPr>
                <w:rFonts w:eastAsia="Times New Roman"/>
                <w:color w:val="000000"/>
              </w:rPr>
            </w:pPr>
            <w:r>
              <w:rPr>
                <w:rFonts w:eastAsia="Times New Roman"/>
                <w:color w:val="000000"/>
              </w:rPr>
              <w:t>End Semester Examination</w:t>
            </w:r>
            <w:r w:rsidR="00274D10">
              <w:rPr>
                <w:rFonts w:eastAsia="Times New Roman"/>
                <w:color w:val="000000"/>
              </w:rPr>
              <w:t xml:space="preserve"> </w:t>
            </w:r>
            <w:r>
              <w:rPr>
                <w:rFonts w:eastAsia="Times New Roman"/>
                <w:color w:val="000000"/>
              </w:rPr>
              <w:t>[30%]</w:t>
            </w:r>
          </w:p>
          <w:p w:rsidR="00000000" w:rsidRDefault="00E902C3">
            <w:pPr>
              <w:numPr>
                <w:ilvl w:val="0"/>
                <w:numId w:val="1"/>
              </w:numPr>
              <w:spacing w:before="100" w:beforeAutospacing="1" w:after="100" w:afterAutospacing="1"/>
              <w:rPr>
                <w:rFonts w:eastAsia="Times New Roman"/>
                <w:color w:val="000000"/>
              </w:rPr>
            </w:pPr>
            <w:r>
              <w:rPr>
                <w:rFonts w:eastAsia="Times New Roman"/>
                <w:color w:val="000000"/>
              </w:rPr>
              <w:t>Mid Semester Examination</w:t>
            </w:r>
            <w:r w:rsidR="00274D10">
              <w:rPr>
                <w:rFonts w:eastAsia="Times New Roman"/>
                <w:color w:val="000000"/>
              </w:rPr>
              <w:t xml:space="preserve"> </w:t>
            </w:r>
            <w:r>
              <w:rPr>
                <w:rFonts w:eastAsia="Times New Roman"/>
                <w:color w:val="000000"/>
              </w:rPr>
              <w:t>[20%]</w:t>
            </w: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Attendan</w:t>
            </w:r>
            <w:r>
              <w:rPr>
                <w:rFonts w:eastAsia="Times New Roman"/>
                <w:color w:val="000000"/>
              </w:rPr>
              <w:t xml:space="preserve">ce Policy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As per Ahmedabad University Policy</w:t>
            </w: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lastRenderedPageBreak/>
              <w:t xml:space="preserve">Project / Assignment Details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pStyle w:val="NormalWeb"/>
              <w:rPr>
                <w:color w:val="000000"/>
              </w:rPr>
            </w:pPr>
            <w:r>
              <w:rPr>
                <w:color w:val="000000"/>
              </w:rPr>
              <w:t>4 Quizzes, each worth 5 % of the Final Grade:  Each will consist of 10 Short Answer questions designed to test the students’ comprehension of the authors/theories we have studied.</w:t>
            </w:r>
          </w:p>
          <w:p w:rsidR="00000000" w:rsidRDefault="00E902C3">
            <w:pPr>
              <w:pStyle w:val="NormalWeb"/>
              <w:rPr>
                <w:color w:val="000000"/>
              </w:rPr>
            </w:pPr>
            <w:r>
              <w:rPr>
                <w:color w:val="000000"/>
              </w:rPr>
              <w:t>10 Reading Responses, each worth 2 % of the Final Grade: Brief (one or two p</w:t>
            </w:r>
            <w:r>
              <w:rPr>
                <w:color w:val="000000"/>
              </w:rPr>
              <w:t>age) summaries of the central argument of one of the course readings. Graded on a pass/fail basis.</w:t>
            </w: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Course Material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Text Book</w:t>
            </w:r>
            <w:r>
              <w:rPr>
                <w:rFonts w:eastAsia="Times New Roman"/>
                <w:color w:val="000000"/>
              </w:rPr>
              <w:t>:</w:t>
            </w:r>
            <w:r>
              <w:rPr>
                <w:rFonts w:eastAsia="Times New Roman"/>
                <w:color w:val="000000"/>
              </w:rPr>
              <w:t xml:space="preserve"> </w:t>
            </w:r>
          </w:p>
          <w:p w:rsidR="00000000" w:rsidRDefault="00E902C3">
            <w:pPr>
              <w:numPr>
                <w:ilvl w:val="0"/>
                <w:numId w:val="2"/>
              </w:numPr>
              <w:spacing w:before="100" w:beforeAutospacing="1" w:after="100" w:afterAutospacing="1"/>
              <w:rPr>
                <w:rFonts w:eastAsia="Times New Roman"/>
                <w:color w:val="000000"/>
              </w:rPr>
            </w:pPr>
            <w:r>
              <w:rPr>
                <w:rFonts w:eastAsia="Times New Roman"/>
                <w:color w:val="000000"/>
              </w:rPr>
              <w:t>Blindsight, Peter Watts</w:t>
            </w:r>
            <w:r>
              <w:rPr>
                <w:rFonts w:eastAsia="Times New Roman"/>
                <w:color w:val="000000"/>
              </w:rPr>
              <w:t xml:space="preserve"> </w:t>
            </w:r>
          </w:p>
          <w:p w:rsidR="00000000" w:rsidRDefault="00E902C3">
            <w:pPr>
              <w:rPr>
                <w:rFonts w:eastAsia="Times New Roman"/>
                <w:color w:val="000000"/>
              </w:rPr>
            </w:pPr>
            <w:proofErr w:type="spellStart"/>
            <w:r>
              <w:rPr>
                <w:rFonts w:eastAsia="Times New Roman"/>
                <w:color w:val="000000"/>
              </w:rPr>
              <w:t>Coursepacks</w:t>
            </w:r>
            <w:proofErr w:type="spellEnd"/>
            <w:r>
              <w:rPr>
                <w:rFonts w:eastAsia="Times New Roman"/>
                <w:color w:val="000000"/>
              </w:rPr>
              <w:t>:</w:t>
            </w:r>
            <w:r>
              <w:rPr>
                <w:rFonts w:eastAsia="Times New Roman"/>
                <w:color w:val="000000"/>
              </w:rPr>
              <w:t xml:space="preserve"> </w:t>
            </w:r>
          </w:p>
          <w:p w:rsidR="00000000" w:rsidRDefault="00E902C3">
            <w:pPr>
              <w:rPr>
                <w:rFonts w:eastAsia="Times New Roman"/>
                <w:color w:val="000000"/>
              </w:rPr>
            </w:pPr>
            <w:r>
              <w:rPr>
                <w:rFonts w:eastAsia="Times New Roman" w:hAnsi="Symbol"/>
                <w:color w:val="000000"/>
              </w:rPr>
              <w:t></w:t>
            </w:r>
            <w:r>
              <w:rPr>
                <w:rFonts w:eastAsia="Times New Roman"/>
                <w:color w:val="000000"/>
              </w:rPr>
              <w:t xml:space="preserve">  1 PHIL 110 Readings</w:t>
            </w:r>
          </w:p>
          <w:p w:rsidR="00000000" w:rsidRDefault="00E902C3">
            <w:pPr>
              <w:pStyle w:val="NormalWeb"/>
              <w:divId w:val="946930330"/>
              <w:rPr>
                <w:color w:val="000000"/>
              </w:rPr>
            </w:pPr>
            <w:r>
              <w:rPr>
                <w:color w:val="000000"/>
              </w:rPr>
              <w:t>Reading List:</w:t>
            </w:r>
          </w:p>
          <w:p w:rsidR="00000000" w:rsidRDefault="00E902C3">
            <w:pPr>
              <w:pStyle w:val="NormalWeb"/>
              <w:divId w:val="946930330"/>
              <w:rPr>
                <w:color w:val="000000"/>
              </w:rPr>
            </w:pPr>
            <w:r>
              <w:rPr>
                <w:color w:val="000000"/>
              </w:rPr>
              <w:t>Plato. Apolo</w:t>
            </w:r>
            <w:r>
              <w:rPr>
                <w:color w:val="000000"/>
              </w:rPr>
              <w:t xml:space="preserve">gy, trans. Benjamin Jowett (accessible at </w:t>
            </w:r>
            <w:hyperlink r:id="rId5" w:history="1">
              <w:r>
                <w:rPr>
                  <w:rStyle w:val="Hyperlink"/>
                </w:rPr>
                <w:t>http://classics.mit.edu/Plato/apology.html)</w:t>
              </w:r>
            </w:hyperlink>
          </w:p>
          <w:p w:rsidR="00000000" w:rsidRDefault="00E902C3">
            <w:pPr>
              <w:pStyle w:val="NormalWeb"/>
              <w:divId w:val="946930330"/>
              <w:rPr>
                <w:color w:val="000000"/>
              </w:rPr>
            </w:pPr>
            <w:r>
              <w:rPr>
                <w:color w:val="000000"/>
              </w:rPr>
              <w:t>Mary Midgley. 'Philosophical Plumbing' Royal Institute of Philosophy Supplement 33: 139-151 (1992)</w:t>
            </w:r>
          </w:p>
          <w:p w:rsidR="00000000" w:rsidRDefault="00E902C3">
            <w:pPr>
              <w:pStyle w:val="NormalWeb"/>
              <w:divId w:val="946930330"/>
              <w:rPr>
                <w:color w:val="000000"/>
              </w:rPr>
            </w:pPr>
            <w:r>
              <w:rPr>
                <w:color w:val="000000"/>
              </w:rPr>
              <w:t>Heraclitus.</w:t>
            </w:r>
            <w:r>
              <w:rPr>
                <w:color w:val="000000"/>
              </w:rPr>
              <w:t xml:space="preserve"> Fragments (accessible at </w:t>
            </w:r>
            <w:hyperlink r:id="rId6" w:history="1">
              <w:r>
                <w:rPr>
                  <w:rStyle w:val="Hyperlink"/>
                </w:rPr>
                <w:t>www.heraclitusfragments.com</w:t>
              </w:r>
            </w:hyperlink>
            <w:r>
              <w:rPr>
                <w:color w:val="000000"/>
              </w:rPr>
              <w:t>)</w:t>
            </w:r>
          </w:p>
          <w:p w:rsidR="00000000" w:rsidRDefault="00E902C3">
            <w:pPr>
              <w:pStyle w:val="NormalWeb"/>
              <w:divId w:val="946930330"/>
              <w:rPr>
                <w:color w:val="000000"/>
              </w:rPr>
            </w:pPr>
            <w:r>
              <w:rPr>
                <w:color w:val="000000"/>
              </w:rPr>
              <w:t xml:space="preserve">Parmenides. Fragments, trans. John Burnet  (accessible at </w:t>
            </w:r>
            <w:hyperlink r:id="rId7" w:history="1">
              <w:r>
                <w:rPr>
                  <w:rStyle w:val="Hyperlink"/>
                </w:rPr>
                <w:t>https://en.wikisourc</w:t>
              </w:r>
              <w:r>
                <w:rPr>
                  <w:rStyle w:val="Hyperlink"/>
                </w:rPr>
                <w:t>e.org/wiki/Fragments_of_Parmenides)</w:t>
              </w:r>
            </w:hyperlink>
            <w:r>
              <w:rPr>
                <w:color w:val="000000"/>
              </w:rPr>
              <w:t> </w:t>
            </w:r>
          </w:p>
          <w:p w:rsidR="00000000" w:rsidRDefault="00E902C3">
            <w:pPr>
              <w:pStyle w:val="NormalWeb"/>
              <w:divId w:val="946930330"/>
              <w:rPr>
                <w:color w:val="000000"/>
              </w:rPr>
            </w:pPr>
            <w:r>
              <w:rPr>
                <w:color w:val="000000"/>
              </w:rPr>
              <w:t>Plato. Republic, trans. Benjamin Jowett (accessible at </w:t>
            </w:r>
            <w:hyperlink r:id="rId8" w:history="1">
              <w:r>
                <w:rPr>
                  <w:rStyle w:val="Hyperlink"/>
                </w:rPr>
                <w:t>http://classics.mit.edu/Plato/republic.html)</w:t>
              </w:r>
            </w:hyperlink>
            <w:r>
              <w:rPr>
                <w:color w:val="000000"/>
              </w:rPr>
              <w:t> </w:t>
            </w:r>
          </w:p>
          <w:p w:rsidR="00000000" w:rsidRDefault="00E902C3">
            <w:pPr>
              <w:pStyle w:val="NormalWeb"/>
              <w:divId w:val="946930330"/>
              <w:rPr>
                <w:color w:val="000000"/>
              </w:rPr>
            </w:pPr>
            <w:r>
              <w:rPr>
                <w:color w:val="000000"/>
              </w:rPr>
              <w:t>Aristotle. Metaphysics, trans. W.D Ross (accessible at </w:t>
            </w:r>
            <w:hyperlink r:id="rId9" w:history="1">
              <w:r>
                <w:rPr>
                  <w:rStyle w:val="Hyperlink"/>
                  <w:rFonts w:ascii="-webkit-standard" w:hAnsi="-webkit-standard"/>
                  <w:shd w:val="clear" w:color="auto" w:fill="FFFFFF"/>
                </w:rPr>
                <w:t>https://ebook</w:t>
              </w:r>
              <w:r>
                <w:rPr>
                  <w:rStyle w:val="Hyperlink"/>
                  <w:rFonts w:ascii="-webkit-standard" w:hAnsi="-webkit-standard"/>
                  <w:shd w:val="clear" w:color="auto" w:fill="FFFFFF"/>
                </w:rPr>
                <w:t>s</w:t>
              </w:r>
              <w:r>
                <w:rPr>
                  <w:rStyle w:val="Hyperlink"/>
                  <w:rFonts w:ascii="-webkit-standard" w:hAnsi="-webkit-standard"/>
                  <w:shd w:val="clear" w:color="auto" w:fill="FFFFFF"/>
                </w:rPr>
                <w:t>.adelaide.edu.au/a/aristotle/metaphysics/index.html</w:t>
              </w:r>
            </w:hyperlink>
            <w:r>
              <w:rPr>
                <w:color w:val="000000"/>
              </w:rPr>
              <w:t>) </w:t>
            </w:r>
          </w:p>
          <w:p w:rsidR="00000000" w:rsidRDefault="00E902C3">
            <w:pPr>
              <w:pStyle w:val="NormalWeb"/>
              <w:divId w:val="946930330"/>
              <w:rPr>
                <w:color w:val="000000"/>
              </w:rPr>
            </w:pPr>
            <w:r>
              <w:rPr>
                <w:color w:val="000000"/>
              </w:rPr>
              <w:t xml:space="preserve">A.C. Das 'Brahman and </w:t>
            </w:r>
            <w:r w:rsidR="00274D10" w:rsidRPr="00274D10">
              <w:rPr>
                <w:color w:val="000000"/>
              </w:rPr>
              <w:t>M</w:t>
            </w:r>
            <w:r w:rsidR="00274D10" w:rsidRPr="00274D10">
              <w:rPr>
                <w:color w:val="212121"/>
                <w:lang w:val="en-US"/>
              </w:rPr>
              <w:t>āyā</w:t>
            </w:r>
            <w:r>
              <w:rPr>
                <w:color w:val="000000"/>
              </w:rPr>
              <w:t xml:space="preserve"> in Advaita Metaphysics' Philosophy East and West 2.2: 144-154 (1952)</w:t>
            </w:r>
          </w:p>
          <w:p w:rsidR="00000000" w:rsidRDefault="00E902C3">
            <w:pPr>
              <w:pStyle w:val="NormalWeb"/>
              <w:divId w:val="946930330"/>
              <w:rPr>
                <w:color w:val="000000"/>
              </w:rPr>
            </w:pPr>
            <w:r>
              <w:rPr>
                <w:color w:val="000000"/>
              </w:rPr>
              <w:t>Kisor Chakra</w:t>
            </w:r>
            <w:r>
              <w:rPr>
                <w:color w:val="000000"/>
              </w:rPr>
              <w:t xml:space="preserve">barti 'The </w:t>
            </w:r>
            <w:r w:rsidR="00274D10" w:rsidRPr="00274D10">
              <w:rPr>
                <w:color w:val="212121"/>
                <w:lang w:val="en-US"/>
              </w:rPr>
              <w:t>Nyāyá- Vaiśeṣika</w:t>
            </w:r>
            <w:r w:rsidR="00274D10">
              <w:rPr>
                <w:color w:val="212121"/>
                <w:lang w:val="en-US"/>
              </w:rPr>
              <w:t xml:space="preserve"> </w:t>
            </w:r>
            <w:r>
              <w:rPr>
                <w:color w:val="000000"/>
              </w:rPr>
              <w:t>Theory of Universals' Journal of Indian Philosophy 3.3/4: 363-382 (1975)</w:t>
            </w:r>
          </w:p>
          <w:p w:rsidR="00000000" w:rsidRPr="00274D10" w:rsidRDefault="00274D10" w:rsidP="00274D10">
            <w:pPr>
              <w:pStyle w:val="NormalWeb"/>
              <w:divId w:val="946930330"/>
              <w:rPr>
                <w:color w:val="000000"/>
              </w:rPr>
            </w:pPr>
            <w:r w:rsidRPr="00274D10">
              <w:t>N</w:t>
            </w:r>
            <w:proofErr w:type="spellStart"/>
            <w:r w:rsidRPr="00274D10">
              <w:rPr>
                <w:color w:val="212121"/>
                <w:lang w:val="en-US"/>
              </w:rPr>
              <w:t>āgārjuna</w:t>
            </w:r>
            <w:proofErr w:type="spellEnd"/>
            <w:r w:rsidR="00E902C3">
              <w:rPr>
                <w:color w:val="000000"/>
              </w:rPr>
              <w:t>. The Fundamental Wisdom of the Middle Way, trans. w/commentary Jay L. Garfield (1995)</w:t>
            </w:r>
          </w:p>
          <w:p w:rsidR="00000000" w:rsidRDefault="00E902C3">
            <w:pPr>
              <w:pStyle w:val="NormalWeb"/>
              <w:divId w:val="1338311243"/>
              <w:rPr>
                <w:color w:val="000000"/>
              </w:rPr>
            </w:pPr>
            <w:r>
              <w:rPr>
                <w:color w:val="000000"/>
              </w:rPr>
              <w:t>John Locke. An Essay Concerning Human Understanding (accessible at </w:t>
            </w:r>
            <w:hyperlink r:id="rId10" w:history="1">
              <w:r>
                <w:rPr>
                  <w:rStyle w:val="Hyperlink"/>
                  <w:rFonts w:ascii="-webkit-standard" w:hAnsi="-webkit-standard"/>
                </w:rPr>
                <w:t>https://ebooks.adelaide.edu.au/l/locke/john/l81u/index.html</w:t>
              </w:r>
            </w:hyperlink>
            <w:r>
              <w:rPr>
                <w:color w:val="000000"/>
              </w:rPr>
              <w:t>)</w:t>
            </w:r>
          </w:p>
          <w:p w:rsidR="00000000" w:rsidRDefault="00E902C3">
            <w:pPr>
              <w:pStyle w:val="NormalWeb"/>
              <w:divId w:val="1338311243"/>
              <w:rPr>
                <w:color w:val="000000"/>
              </w:rPr>
            </w:pPr>
            <w:r>
              <w:rPr>
                <w:color w:val="000000"/>
              </w:rPr>
              <w:t>Gottfried Wilhelm Leibniz. New Essays on Human Understanding, trans. Jonathan Bennet (accessible at </w:t>
            </w:r>
            <w:hyperlink r:id="rId11" w:history="1">
              <w:r>
                <w:rPr>
                  <w:rStyle w:val="Hyperlink"/>
                </w:rPr>
                <w:t>https://www.earlymoderntexts.com/authors/leibniz)</w:t>
              </w:r>
            </w:hyperlink>
            <w:r>
              <w:rPr>
                <w:color w:val="000000"/>
              </w:rPr>
              <w:t> </w:t>
            </w:r>
          </w:p>
          <w:p w:rsidR="00000000" w:rsidRDefault="00E902C3">
            <w:pPr>
              <w:pStyle w:val="NormalWeb"/>
              <w:divId w:val="1338311243"/>
              <w:rPr>
                <w:color w:val="000000"/>
              </w:rPr>
            </w:pPr>
            <w:r>
              <w:rPr>
                <w:color w:val="000000"/>
              </w:rPr>
              <w:lastRenderedPageBreak/>
              <w:t>Rene Descartes. Meditations on First Ph</w:t>
            </w:r>
            <w:r>
              <w:rPr>
                <w:color w:val="000000"/>
              </w:rPr>
              <w:t>ilosophy, trans. Elizabeth S. Haldane</w:t>
            </w:r>
          </w:p>
          <w:p w:rsidR="00000000" w:rsidRDefault="00E902C3">
            <w:pPr>
              <w:pStyle w:val="NormalWeb"/>
              <w:divId w:val="1338311243"/>
              <w:rPr>
                <w:color w:val="000000"/>
              </w:rPr>
            </w:pPr>
            <w:r>
              <w:rPr>
                <w:color w:val="000000"/>
              </w:rPr>
              <w:t>David Hume. A Treatise of Human Nature (accessible at </w:t>
            </w:r>
            <w:hyperlink r:id="rId12" w:history="1">
              <w:r>
                <w:rPr>
                  <w:rStyle w:val="Hyperlink"/>
                  <w:rFonts w:ascii="-webkit-standard" w:hAnsi="-webkit-standard"/>
                  <w:shd w:val="clear" w:color="auto" w:fill="FFFFFF"/>
                </w:rPr>
                <w:t>https://ebooks.adelaide.edu.au/h/hume/david/h92t/index.html</w:t>
              </w:r>
            </w:hyperlink>
            <w:r>
              <w:rPr>
                <w:color w:val="000000"/>
              </w:rPr>
              <w:t>)</w:t>
            </w:r>
          </w:p>
          <w:p w:rsidR="00000000" w:rsidRDefault="00E902C3">
            <w:pPr>
              <w:pStyle w:val="NormalWeb"/>
              <w:divId w:val="1338311243"/>
              <w:rPr>
                <w:color w:val="000000"/>
              </w:rPr>
            </w:pPr>
            <w:r>
              <w:rPr>
                <w:color w:val="000000"/>
              </w:rPr>
              <w:t>G.E. Moore. 'Proof of An Ex</w:t>
            </w:r>
            <w:r>
              <w:rPr>
                <w:color w:val="000000"/>
              </w:rPr>
              <w:t>ternal World' Proceedings of the British Academy 25: 273-300 (1939)</w:t>
            </w:r>
          </w:p>
          <w:p w:rsidR="00000000" w:rsidRDefault="00E902C3">
            <w:pPr>
              <w:pStyle w:val="NormalWeb"/>
              <w:divId w:val="1338311243"/>
              <w:rPr>
                <w:color w:val="000000"/>
              </w:rPr>
            </w:pPr>
            <w:r>
              <w:rPr>
                <w:color w:val="000000"/>
              </w:rPr>
              <w:t>Immanuel Kant. Prologomena to Any Future Metaphysics trans. Gary Hatfield</w:t>
            </w:r>
          </w:p>
          <w:p w:rsidR="00000000" w:rsidRDefault="00E902C3">
            <w:pPr>
              <w:pStyle w:val="NormalWeb"/>
              <w:divId w:val="1338311243"/>
              <w:rPr>
                <w:color w:val="000000"/>
              </w:rPr>
            </w:pPr>
            <w:r>
              <w:rPr>
                <w:color w:val="000000"/>
              </w:rPr>
              <w:t>Jen McWeeny. 'Princess Elisabeth and the Mind-Body Problem', in Just the Arguments: 100 of the Most Important Argu</w:t>
            </w:r>
            <w:r>
              <w:rPr>
                <w:color w:val="000000"/>
              </w:rPr>
              <w:t>ments in Western Philosophy</w:t>
            </w:r>
            <w:r>
              <w:rPr>
                <w:color w:val="000000"/>
                <w:u w:val="single"/>
              </w:rPr>
              <w:t xml:space="preserve"> </w:t>
            </w:r>
            <w:r>
              <w:rPr>
                <w:color w:val="000000"/>
              </w:rPr>
              <w:t>eds. Michael Bruce and Steven Barbone: 297-300 (2011)</w:t>
            </w:r>
          </w:p>
          <w:p w:rsidR="00000000" w:rsidRDefault="00E902C3">
            <w:pPr>
              <w:pStyle w:val="NormalWeb"/>
              <w:divId w:val="1338311243"/>
              <w:rPr>
                <w:color w:val="000000"/>
              </w:rPr>
            </w:pPr>
            <w:r>
              <w:rPr>
                <w:color w:val="000000"/>
              </w:rPr>
              <w:t>Louise Antony. 'The Mental and the Physical' in The Routledge Companion to Metaphysics ed. Robin Le Poidevin: 555-567 (2009)</w:t>
            </w:r>
          </w:p>
          <w:p w:rsidR="00000000" w:rsidRDefault="00E902C3">
            <w:pPr>
              <w:pStyle w:val="NormalWeb"/>
              <w:divId w:val="1338311243"/>
              <w:rPr>
                <w:color w:val="000000"/>
              </w:rPr>
            </w:pPr>
            <w:r>
              <w:rPr>
                <w:color w:val="000000"/>
              </w:rPr>
              <w:t xml:space="preserve">Thomas Nagel. 'What is it Like to be a Bat?' The </w:t>
            </w:r>
            <w:r>
              <w:rPr>
                <w:color w:val="000000"/>
              </w:rPr>
              <w:t>Philosophical Review 83.4: 435-450 (1974)</w:t>
            </w:r>
          </w:p>
          <w:p w:rsidR="00000000" w:rsidRDefault="00E902C3">
            <w:pPr>
              <w:pStyle w:val="NormalWeb"/>
              <w:divId w:val="1338311243"/>
              <w:rPr>
                <w:color w:val="000000"/>
              </w:rPr>
            </w:pPr>
            <w:r>
              <w:rPr>
                <w:color w:val="000000"/>
              </w:rPr>
              <w:t>Patricia Churchland. 'The Hornswoggle Problem' Journal of Consciousness Studies 3.5-6: 402-408 (1996)</w:t>
            </w:r>
          </w:p>
          <w:p w:rsidR="00000000" w:rsidRPr="00274D10" w:rsidRDefault="00E902C3" w:rsidP="00274D10">
            <w:pPr>
              <w:pStyle w:val="NormalWeb"/>
              <w:divId w:val="1338311243"/>
              <w:rPr>
                <w:color w:val="000000"/>
              </w:rPr>
            </w:pPr>
            <w:r>
              <w:rPr>
                <w:color w:val="000000"/>
              </w:rPr>
              <w:t>Sankara. A Thousand Teachings, trans.Swami Jagadananda</w:t>
            </w:r>
          </w:p>
          <w:p w:rsidR="00000000" w:rsidRDefault="00E902C3">
            <w:pPr>
              <w:pStyle w:val="NormalWeb"/>
              <w:divId w:val="2046173782"/>
              <w:rPr>
                <w:color w:val="000000"/>
              </w:rPr>
            </w:pPr>
            <w:r>
              <w:rPr>
                <w:color w:val="000000"/>
              </w:rPr>
              <w:t>Christine M. Korsgaard. 'Personal Identity and the Unity of Agency: A Kantian Response to Parfit' Philosophy &amp; Public Affairs 18.2: 101-132 (1989)</w:t>
            </w:r>
          </w:p>
          <w:p w:rsidR="00000000" w:rsidRDefault="00E902C3">
            <w:pPr>
              <w:pStyle w:val="NormalWeb"/>
              <w:divId w:val="2046173782"/>
              <w:rPr>
                <w:color w:val="000000"/>
              </w:rPr>
            </w:pPr>
            <w:r>
              <w:rPr>
                <w:color w:val="000000"/>
              </w:rPr>
              <w:t>Carol Rovane. 'Why do Individuals Matter?' Daed</w:t>
            </w:r>
            <w:r>
              <w:rPr>
                <w:color w:val="000000"/>
              </w:rPr>
              <w:t>alus 135.4: 49-59 (2006)</w:t>
            </w:r>
          </w:p>
          <w:p w:rsidR="00000000" w:rsidRPr="00274D10" w:rsidRDefault="00E902C3" w:rsidP="00274D10">
            <w:pPr>
              <w:pStyle w:val="NormalWeb"/>
              <w:divId w:val="2046173782"/>
              <w:rPr>
                <w:color w:val="000000"/>
              </w:rPr>
            </w:pPr>
            <w:r>
              <w:rPr>
                <w:color w:val="000000"/>
              </w:rPr>
              <w:t>Peter Watts. Blindsight</w:t>
            </w:r>
            <w:r w:rsidR="00274D10">
              <w:rPr>
                <w:color w:val="000000"/>
              </w:rPr>
              <w:t>. Creative Commons E-book.</w:t>
            </w:r>
            <w:r>
              <w:rPr>
                <w:color w:val="000000"/>
              </w:rPr>
              <w:t xml:space="preserve"> (2006</w:t>
            </w:r>
            <w:r w:rsidR="00274D10">
              <w:rPr>
                <w:color w:val="000000"/>
              </w:rPr>
              <w:t>)</w:t>
            </w:r>
          </w:p>
          <w:p w:rsidR="00000000" w:rsidRDefault="00E902C3">
            <w:pPr>
              <w:rPr>
                <w:rFonts w:eastAsia="Times New Roman"/>
                <w:color w:val="000000"/>
              </w:rPr>
            </w:pPr>
            <w:r>
              <w:rPr>
                <w:rFonts w:eastAsia="Times New Roman"/>
                <w:noProof/>
                <w:color w:val="000000"/>
              </w:rPr>
              <w:pict>
                <v:rect id="_x0000_i1025" alt="" style="width:451.3pt;height:.05pt;mso-width-percent:0;mso-height-percent:0;mso-width-percent:0;mso-height-percent:0" o:hralign="center" o:hrstd="t" o:hr="t" fillcolor="#a0a0a0" stroked="f"/>
              </w:pict>
            </w:r>
          </w:p>
        </w:tc>
      </w:tr>
      <w:tr w:rsidR="00000000">
        <w:trPr>
          <w:divId w:val="2248779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lastRenderedPageBreak/>
              <w:t xml:space="preserve">Additional Information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000000" w:rsidRDefault="00E902C3">
            <w:pPr>
              <w:pStyle w:val="NormalWeb"/>
              <w:rPr>
                <w:color w:val="000000"/>
              </w:rPr>
            </w:pPr>
            <w:r>
              <w:rPr>
                <w:color w:val="000000"/>
              </w:rPr>
              <w:t>The Midterm exam and the Final exam will both consist of short essay questions, and will require students to a) reconstruct and b) critically analy</w:t>
            </w:r>
            <w:r w:rsidR="00274D10">
              <w:rPr>
                <w:color w:val="000000"/>
              </w:rPr>
              <w:t>s</w:t>
            </w:r>
            <w:r>
              <w:rPr>
                <w:color w:val="000000"/>
              </w:rPr>
              <w:t>e an argument from one of the course readings. Some questions will also require students to compare and cont</w:t>
            </w:r>
            <w:r>
              <w:rPr>
                <w:color w:val="000000"/>
              </w:rPr>
              <w:t>rast the views of different philosophers.</w:t>
            </w:r>
          </w:p>
        </w:tc>
      </w:tr>
    </w:tbl>
    <w:p w:rsidR="00000000" w:rsidRDefault="00E902C3">
      <w:pPr>
        <w:pStyle w:val="Heading4"/>
        <w:jc w:val="center"/>
        <w:divId w:val="650643666"/>
        <w:rPr>
          <w:rFonts w:ascii="Calibri" w:eastAsia="Times New Roman" w:hAnsi="Calibri" w:cs="Calibri"/>
        </w:rPr>
      </w:pPr>
      <w:r>
        <w:rPr>
          <w:rFonts w:ascii="Calibri" w:eastAsia="Times New Roman" w:hAnsi="Calibri" w:cs="Calibri"/>
        </w:rPr>
        <w:t>Session Plan</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1"/>
        <w:gridCol w:w="785"/>
        <w:gridCol w:w="1888"/>
        <w:gridCol w:w="2340"/>
        <w:gridCol w:w="1377"/>
        <w:gridCol w:w="1109"/>
      </w:tblGrid>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jc w:val="center"/>
              <w:rPr>
                <w:rFonts w:eastAsia="Times New Roman"/>
                <w:b/>
                <w:bCs/>
                <w:color w:val="000000"/>
              </w:rPr>
            </w:pPr>
            <w:r>
              <w:rPr>
                <w:rFonts w:eastAsia="Times New Roman"/>
                <w:b/>
                <w:bCs/>
                <w:color w:val="000000"/>
              </w:rPr>
              <w:t xml:space="preserve">Topic Title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jc w:val="center"/>
              <w:rPr>
                <w:rFonts w:eastAsia="Times New Roman"/>
                <w:b/>
                <w:bCs/>
                <w:color w:val="000000"/>
              </w:rPr>
            </w:pPr>
            <w:r>
              <w:rPr>
                <w:rFonts w:eastAsia="Times New Roman"/>
                <w:b/>
                <w:bCs/>
                <w:color w:val="000000"/>
              </w:rPr>
              <w:t xml:space="preserve">Session No.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jc w:val="center"/>
              <w:rPr>
                <w:rFonts w:eastAsia="Times New Roman"/>
                <w:b/>
                <w:bCs/>
                <w:color w:val="000000"/>
              </w:rPr>
            </w:pPr>
            <w:r>
              <w:rPr>
                <w:rFonts w:eastAsia="Times New Roman"/>
                <w:b/>
                <w:bCs/>
                <w:color w:val="000000"/>
              </w:rPr>
              <w:t xml:space="preserve">Topic &amp; Subtopic Details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jc w:val="center"/>
              <w:rPr>
                <w:rFonts w:eastAsia="Times New Roman"/>
                <w:b/>
                <w:bCs/>
                <w:color w:val="000000"/>
              </w:rPr>
            </w:pPr>
            <w:r>
              <w:rPr>
                <w:rFonts w:eastAsia="Times New Roman"/>
                <w:b/>
                <w:bCs/>
                <w:color w:val="000000"/>
              </w:rPr>
              <w:t xml:space="preserve">Readings,Cases,etc.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jc w:val="center"/>
              <w:rPr>
                <w:rFonts w:eastAsia="Times New Roman"/>
                <w:b/>
                <w:bCs/>
                <w:color w:val="000000"/>
              </w:rPr>
            </w:pPr>
            <w:r>
              <w:rPr>
                <w:rFonts w:eastAsia="Times New Roman"/>
                <w:b/>
                <w:bCs/>
                <w:color w:val="000000"/>
              </w:rPr>
              <w:t xml:space="preserve">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jc w:val="center"/>
              <w:rPr>
                <w:rFonts w:eastAsia="Times New Roman"/>
                <w:b/>
                <w:bCs/>
                <w:color w:val="000000"/>
              </w:rPr>
            </w:pPr>
            <w:r>
              <w:rPr>
                <w:rFonts w:eastAsia="Times New Roman"/>
                <w:b/>
                <w:bCs/>
                <w:color w:val="000000"/>
              </w:rPr>
              <w:t xml:space="preserve">Important Dates </w:t>
            </w: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What is 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None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Icebreaker: 'My Philosophy' questionnaire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lastRenderedPageBreak/>
              <w:t>The Value of 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Who was Socrates? Why are his life, death, and mission important?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Plato. Apology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Are you living an examined life?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Aims and Methods of Philosophy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What do philosophers do, and how can</w:t>
            </w:r>
            <w:r>
              <w:rPr>
                <w:rFonts w:eastAsia="Times New Roman"/>
                <w:color w:val="000000"/>
              </w:rPr>
              <w:t xml:space="preserve"> we learn to do it ourselves?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Midgley 'Philosophical Plumbing'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Thinking Critically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The Structure of Philosophical Argument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What are the parts of an argument, and how can you identify them? What makes an argument good or bad?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None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Finding and evaluat</w:t>
            </w:r>
            <w:r>
              <w:rPr>
                <w:rFonts w:eastAsia="Times New Roman"/>
                <w:color w:val="000000"/>
              </w:rPr>
              <w:t>ing an argument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Intro to Metaphysics: The Pre-Socratics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Ancient Greek Metaphysics before Plato: Heraclitus and Parmenides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Heraclitus. Fragments B6, B8, B12, B91, B52, B80, B88, B111, B126. Parmenides. All Fragments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Plato's Allegory of the Cave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What does this story tell us about reality? Are we living in Plato's cave, and if so how can we reach the surface?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Republic Book</w:t>
            </w:r>
            <w:r>
              <w:rPr>
                <w:rFonts w:eastAsia="Times New Roman"/>
                <w:color w:val="000000"/>
              </w:rPr>
              <w:t xml:space="preserve"> VII 514a-520a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Plato's Theory of Forms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The Divided Line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Republic Book VI 509d-511e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Quiz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Aristotelian Metaphysics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Aristotle's critique of Plato, and his own metaphysics of form and matter (hylomorphism).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Selections from Metaphysics (Book V Ch </w:t>
            </w:r>
            <w:r>
              <w:rPr>
                <w:rFonts w:eastAsia="Times New Roman"/>
                <w:color w:val="000000"/>
              </w:rPr>
              <w:t>2, Book I Ch 9, Book VII Chs 8 and 13-17)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Classical Indian Metaphysics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The Schools of Indian Philosophy, The Advaita Vedanta school on the fundamental nature of reality, The </w:t>
            </w:r>
            <w:r w:rsidR="00274D10" w:rsidRPr="00274D10">
              <w:rPr>
                <w:color w:val="212121"/>
                <w:lang w:val="en-US"/>
              </w:rPr>
              <w:t>Nyāyá- Vaiśeṣika</w:t>
            </w:r>
            <w:r w:rsidR="00274D10" w:rsidRPr="0089376B">
              <w:rPr>
                <w:rFonts w:ascii="Palatino" w:hAnsi="Palatino" w:cstheme="minorHAnsi"/>
                <w:color w:val="212121"/>
                <w:sz w:val="32"/>
                <w:szCs w:val="32"/>
                <w:u w:val="single"/>
                <w:lang w:val="en-US"/>
              </w:rPr>
              <w:t xml:space="preserve"> </w:t>
            </w:r>
            <w:r>
              <w:rPr>
                <w:rFonts w:eastAsia="Times New Roman"/>
                <w:color w:val="000000"/>
              </w:rPr>
              <w:t xml:space="preserve">theory of universals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Das 'Brahman and </w:t>
            </w:r>
            <w:r w:rsidR="00274D10" w:rsidRPr="00274D10">
              <w:rPr>
                <w:color w:val="000000"/>
              </w:rPr>
              <w:t>M</w:t>
            </w:r>
            <w:r w:rsidR="00274D10" w:rsidRPr="00274D10">
              <w:rPr>
                <w:color w:val="212121"/>
                <w:lang w:val="en-US"/>
              </w:rPr>
              <w:t>āyā</w:t>
            </w:r>
            <w:r w:rsidRPr="00274D10">
              <w:rPr>
                <w:rFonts w:eastAsia="Times New Roman"/>
                <w:color w:val="000000"/>
              </w:rPr>
              <w:t xml:space="preserve"> </w:t>
            </w:r>
            <w:r>
              <w:rPr>
                <w:rFonts w:eastAsia="Times New Roman"/>
                <w:color w:val="000000"/>
              </w:rPr>
              <w:t>in Advaita Metaphysics', Chakrabarti 'The</w:t>
            </w:r>
            <w:r w:rsidR="00274D10" w:rsidRPr="00274D10">
              <w:rPr>
                <w:color w:val="212121"/>
                <w:lang w:val="en-US"/>
              </w:rPr>
              <w:t xml:space="preserve"> </w:t>
            </w:r>
            <w:r w:rsidR="00274D10" w:rsidRPr="00274D10">
              <w:rPr>
                <w:color w:val="212121"/>
                <w:lang w:val="en-US"/>
              </w:rPr>
              <w:t>Nyāyá-Vaiśeṣika</w:t>
            </w:r>
            <w:r>
              <w:rPr>
                <w:rFonts w:eastAsia="Times New Roman"/>
                <w:color w:val="000000"/>
              </w:rPr>
              <w:t xml:space="preserve"> </w:t>
            </w:r>
            <w:r>
              <w:rPr>
                <w:rFonts w:eastAsia="Times New Roman"/>
                <w:color w:val="000000"/>
              </w:rPr>
              <w:t xml:space="preserve"> Theory of Universals' (sections 1 and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Buddhist Metaphysics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D10" w:rsidRPr="00274D10" w:rsidRDefault="00274D10" w:rsidP="00274D10">
            <w:pPr>
              <w:rPr>
                <w:rFonts w:eastAsia="Times New Roman"/>
              </w:rPr>
            </w:pPr>
            <w:r w:rsidRPr="00274D10">
              <w:rPr>
                <w:color w:val="202122"/>
                <w:shd w:val="clear" w:color="auto" w:fill="FFFFFF"/>
              </w:rPr>
              <w:t>Nāgārjuna</w:t>
            </w:r>
          </w:p>
          <w:p w:rsidR="00000000" w:rsidRDefault="00E902C3">
            <w:pPr>
              <w:rPr>
                <w:rFonts w:eastAsia="Times New Roman"/>
                <w:color w:val="000000"/>
              </w:rPr>
            </w:pPr>
            <w:r>
              <w:rPr>
                <w:rFonts w:eastAsia="Times New Roman"/>
                <w:color w:val="000000"/>
              </w:rPr>
              <w:t xml:space="preserve">and the Madhyamaka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Pr="00274D10" w:rsidRDefault="00274D10">
            <w:pPr>
              <w:rPr>
                <w:rFonts w:eastAsia="Times New Roman"/>
              </w:rPr>
            </w:pPr>
            <w:r w:rsidRPr="00274D10">
              <w:rPr>
                <w:color w:val="202122"/>
                <w:shd w:val="clear" w:color="auto" w:fill="FFFFFF"/>
              </w:rPr>
              <w:t>Nāgārjuna</w:t>
            </w:r>
            <w:r w:rsidR="00E902C3">
              <w:rPr>
                <w:rFonts w:eastAsia="Times New Roman"/>
                <w:color w:val="000000"/>
              </w:rPr>
              <w:t>. The Fundamental Wisdom of The Middle Way, trans. with comme</w:t>
            </w:r>
            <w:r w:rsidR="00E902C3">
              <w:rPr>
                <w:rFonts w:eastAsia="Times New Roman"/>
                <w:color w:val="000000"/>
              </w:rPr>
              <w:t xml:space="preserve">ntary by Jay Garfield </w:t>
            </w:r>
            <w:r w:rsidR="00E902C3">
              <w:rPr>
                <w:rFonts w:eastAsia="Times New Roman"/>
                <w:color w:val="000000"/>
              </w:rPr>
              <w:lastRenderedPageBreak/>
              <w:t>(dedicatory verses, Chapter I, Chapter V, Chapter XIII, Chapter XV, Chapter XXI)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Intro to Epistemology, Rationalism vs Empiricism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How do we know anything? Locke's Empiricism, Leibniz' Rationalism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John Locke. An Essay Concerning</w:t>
            </w:r>
            <w:r>
              <w:rPr>
                <w:rFonts w:eastAsia="Times New Roman"/>
                <w:color w:val="000000"/>
              </w:rPr>
              <w:t xml:space="preserve"> Human Understanding (Book 1 chs 1, 2 and 4, Book 2 ch 1 ) G.W Leibniz New Essays on Human Understanding (Preface)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Cartesian Skepticism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Do we know anything? The Dreaming Doubt, The Evil Demon Doubt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Rene Descartes. Meditations on First Philosophy (Fi</w:t>
            </w:r>
            <w:r>
              <w:rPr>
                <w:rFonts w:eastAsia="Times New Roman"/>
                <w:color w:val="000000"/>
              </w:rPr>
              <w:t>rst Meditation)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Humean Skepticism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Hume's skeptical arguments re. causation, reason, and the external world.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David Hume. A Treatise of Human Nature (Book I Part I section </w:t>
            </w:r>
            <w:proofErr w:type="spellStart"/>
            <w:r>
              <w:rPr>
                <w:rFonts w:eastAsia="Times New Roman"/>
                <w:color w:val="000000"/>
              </w:rPr>
              <w:t>i</w:t>
            </w:r>
            <w:proofErr w:type="spellEnd"/>
            <w:r>
              <w:rPr>
                <w:rFonts w:eastAsia="Times New Roman"/>
                <w:color w:val="000000"/>
              </w:rPr>
              <w:t xml:space="preserve">, Book I Part III sections ii, vi, and xiii, Book I Part 4 sections </w:t>
            </w:r>
            <w:proofErr w:type="spellStart"/>
            <w:r>
              <w:rPr>
                <w:rFonts w:eastAsia="Times New Roman"/>
                <w:color w:val="000000"/>
              </w:rPr>
              <w:t>i</w:t>
            </w:r>
            <w:proofErr w:type="spellEnd"/>
            <w:r>
              <w:rPr>
                <w:rFonts w:eastAsia="Times New Roman"/>
                <w:color w:val="000000"/>
              </w:rPr>
              <w:t>, ii, and vii)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Answering the Skeptic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Two Responses to Skepticism: The Moorean Shift, Kant's Transcendental Idealism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G</w:t>
            </w:r>
            <w:r>
              <w:rPr>
                <w:rFonts w:eastAsia="Times New Roman"/>
                <w:color w:val="000000"/>
              </w:rPr>
              <w:t>.E. Moore 'Proof of an External World', Immanuel Kant Prologomena to any Future Metaphysics Preface, 4:311 to 4:316, 4:369-372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Quiz #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Midterm Review and Reflection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None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Midterm Exam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Cartesian Dualism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Descartes' dualism of mind and body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Meditations On First Philosophy (Second Meditation)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The Mind-Body Problem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Princess Elisabeth's Challenge, Descartes' Legacy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Jen McWeeny 'Princess Elisabeth and the Mind-Body Problem'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Responses to the Mind-Bod</w:t>
            </w:r>
            <w:r>
              <w:rPr>
                <w:rFonts w:eastAsia="Times New Roman"/>
                <w:color w:val="000000"/>
              </w:rPr>
              <w:t>y Problem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A Potted History of Reactions to Descartes: Identity Theory, Behaviourism, </w:t>
            </w:r>
            <w:r>
              <w:rPr>
                <w:rFonts w:eastAsia="Times New Roman"/>
                <w:color w:val="000000"/>
              </w:rPr>
              <w:lastRenderedPageBreak/>
              <w:t xml:space="preserve">Functionalism, Panpsychism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lastRenderedPageBreak/>
              <w:t>Louise Antony 'The Mental and the Physical'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The Hard Problem of Consciousness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Nagel's knowledge argument against physicalism, and Churchland's response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Thomas Nagel 'What is it Like to be a Bat?', Patricia Smith Churchland 'The Hornswoggle Problem'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Consciousness and Personal Identity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What am I? Locke's psychological criterion</w:t>
            </w:r>
            <w:r>
              <w:rPr>
                <w:rFonts w:eastAsia="Times New Roman"/>
                <w:color w:val="000000"/>
              </w:rPr>
              <w:t xml:space="preserve"> of personal identity, Hume's skeptical challenge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Essay Concerning Human Understanding Book II Chapter XXVII, A Treatise of Human Nature Book I Part 1 section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Quiz #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Skepticism About Personal Identity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Nagarjuna and the Buddhist no-self view, San</w:t>
            </w:r>
            <w:r>
              <w:rPr>
                <w:rFonts w:eastAsia="Times New Roman"/>
                <w:color w:val="000000"/>
              </w:rPr>
              <w:t xml:space="preserve">kara and the Advaita Vedanta response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The Fundamental Wisdom of the Middle Way Chs IX and XVIII, Sankara. Thousand Teachings Part II Ch XVI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Agency and Personal Identity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Personal identity: Ethical not Metaphysical? Korsgaard on persons as agents, Rov</w:t>
            </w:r>
            <w:r>
              <w:rPr>
                <w:rFonts w:eastAsia="Times New Roman"/>
                <w:color w:val="000000"/>
              </w:rPr>
              <w:t>ane on the bounds of agency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Korsgaard 'Personal Identity and the Unity of Agency', Rovane "Why do Individuals Matter?'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Blindsight Intro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Watts' Blindsight p.1-54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Blindsight Cont'd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Blindsight p.54-113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Blindsight Cont'd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Blindsight p. 116-190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Blindsight Cont'd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Blindsight p. 190-253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Blindsight Conclusion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 xml:space="preserve">Blindsight p.253-end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Quiz #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Final Review and Reflection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None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r w:rsidR="00000000">
        <w:trPr>
          <w:divId w:val="6506436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Final Exam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r>
              <w:rPr>
                <w:rFonts w:eastAsia="Times New Roman"/>
                <w:color w:val="000000"/>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E902C3">
            <w:pPr>
              <w:rPr>
                <w:rFonts w:eastAsia="Times New Roman"/>
                <w:sz w:val="20"/>
                <w:szCs w:val="20"/>
              </w:rPr>
            </w:pPr>
          </w:p>
        </w:tc>
      </w:tr>
    </w:tbl>
    <w:p w:rsidR="00E902C3" w:rsidRDefault="00E902C3">
      <w:pPr>
        <w:divId w:val="650643666"/>
        <w:rPr>
          <w:rFonts w:eastAsia="Times New Roman"/>
        </w:rPr>
      </w:pPr>
    </w:p>
    <w:sectPr w:rsidR="00E90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Palatino">
    <w:panose1 w:val="00000000000000000000"/>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846F3"/>
    <w:multiLevelType w:val="multilevel"/>
    <w:tmpl w:val="233A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A5B0F"/>
    <w:multiLevelType w:val="multilevel"/>
    <w:tmpl w:val="3C68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74D10"/>
    <w:rsid w:val="00274D10"/>
    <w:rsid w:val="008D1D49"/>
    <w:rsid w:val="00E05FA9"/>
    <w:rsid w:val="00E902C3"/>
    <w:rsid w:val="00F333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6D867"/>
  <w15:chartTrackingRefBased/>
  <w15:docId w15:val="{EBAB7A30-108F-1A4C-AB60-B9B28AD2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6418">
      <w:bodyDiv w:val="1"/>
      <w:marLeft w:val="0"/>
      <w:marRight w:val="0"/>
      <w:marTop w:val="0"/>
      <w:marBottom w:val="0"/>
      <w:divBdr>
        <w:top w:val="none" w:sz="0" w:space="0" w:color="auto"/>
        <w:left w:val="none" w:sz="0" w:space="0" w:color="auto"/>
        <w:bottom w:val="none" w:sz="0" w:space="0" w:color="auto"/>
        <w:right w:val="none" w:sz="0" w:space="0" w:color="auto"/>
      </w:divBdr>
    </w:div>
    <w:div w:id="1271276531">
      <w:bodyDiv w:val="1"/>
      <w:marLeft w:val="0"/>
      <w:marRight w:val="0"/>
      <w:marTop w:val="0"/>
      <w:marBottom w:val="0"/>
      <w:divBdr>
        <w:top w:val="none" w:sz="0" w:space="0" w:color="auto"/>
        <w:left w:val="none" w:sz="0" w:space="0" w:color="auto"/>
        <w:bottom w:val="none" w:sz="0" w:space="0" w:color="auto"/>
        <w:right w:val="none" w:sz="0" w:space="0" w:color="auto"/>
      </w:divBdr>
    </w:div>
    <w:div w:id="1372654705">
      <w:bodyDiv w:val="1"/>
      <w:marLeft w:val="0"/>
      <w:marRight w:val="0"/>
      <w:marTop w:val="0"/>
      <w:marBottom w:val="0"/>
      <w:divBdr>
        <w:top w:val="none" w:sz="0" w:space="0" w:color="auto"/>
        <w:left w:val="none" w:sz="0" w:space="0" w:color="auto"/>
        <w:bottom w:val="none" w:sz="0" w:space="0" w:color="auto"/>
        <w:right w:val="none" w:sz="0" w:space="0" w:color="auto"/>
      </w:divBdr>
    </w:div>
    <w:div w:id="1692563358">
      <w:marLeft w:val="0"/>
      <w:marRight w:val="0"/>
      <w:marTop w:val="0"/>
      <w:marBottom w:val="0"/>
      <w:divBdr>
        <w:top w:val="none" w:sz="0" w:space="0" w:color="auto"/>
        <w:left w:val="none" w:sz="0" w:space="0" w:color="auto"/>
        <w:bottom w:val="none" w:sz="0" w:space="0" w:color="auto"/>
        <w:right w:val="none" w:sz="0" w:space="0" w:color="auto"/>
      </w:divBdr>
      <w:divsChild>
        <w:div w:id="650643666">
          <w:marLeft w:val="0"/>
          <w:marRight w:val="0"/>
          <w:marTop w:val="0"/>
          <w:marBottom w:val="0"/>
          <w:divBdr>
            <w:top w:val="none" w:sz="0" w:space="0" w:color="auto"/>
            <w:left w:val="none" w:sz="0" w:space="0" w:color="auto"/>
            <w:bottom w:val="none" w:sz="0" w:space="0" w:color="auto"/>
            <w:right w:val="none" w:sz="0" w:space="0" w:color="auto"/>
          </w:divBdr>
          <w:divsChild>
            <w:div w:id="224877948">
              <w:marLeft w:val="0"/>
              <w:marRight w:val="0"/>
              <w:marTop w:val="0"/>
              <w:marBottom w:val="0"/>
              <w:divBdr>
                <w:top w:val="none" w:sz="0" w:space="0" w:color="auto"/>
                <w:left w:val="none" w:sz="0" w:space="0" w:color="auto"/>
                <w:bottom w:val="none" w:sz="0" w:space="0" w:color="auto"/>
                <w:right w:val="none" w:sz="0" w:space="0" w:color="auto"/>
              </w:divBdr>
              <w:divsChild>
                <w:div w:id="1043674369">
                  <w:marLeft w:val="0"/>
                  <w:marRight w:val="0"/>
                  <w:marTop w:val="0"/>
                  <w:marBottom w:val="0"/>
                  <w:divBdr>
                    <w:top w:val="none" w:sz="0" w:space="0" w:color="auto"/>
                    <w:left w:val="none" w:sz="0" w:space="0" w:color="auto"/>
                    <w:bottom w:val="none" w:sz="0" w:space="0" w:color="auto"/>
                    <w:right w:val="none" w:sz="0" w:space="0" w:color="auto"/>
                  </w:divBdr>
                </w:div>
                <w:div w:id="213389054">
                  <w:marLeft w:val="0"/>
                  <w:marRight w:val="0"/>
                  <w:marTop w:val="0"/>
                  <w:marBottom w:val="0"/>
                  <w:divBdr>
                    <w:top w:val="none" w:sz="0" w:space="0" w:color="auto"/>
                    <w:left w:val="none" w:sz="0" w:space="0" w:color="auto"/>
                    <w:bottom w:val="none" w:sz="0" w:space="0" w:color="auto"/>
                    <w:right w:val="none" w:sz="0" w:space="0" w:color="auto"/>
                  </w:divBdr>
                </w:div>
                <w:div w:id="988366536">
                  <w:marLeft w:val="0"/>
                  <w:marRight w:val="0"/>
                  <w:marTop w:val="0"/>
                  <w:marBottom w:val="0"/>
                  <w:divBdr>
                    <w:top w:val="none" w:sz="0" w:space="0" w:color="auto"/>
                    <w:left w:val="none" w:sz="0" w:space="0" w:color="auto"/>
                    <w:bottom w:val="none" w:sz="0" w:space="0" w:color="auto"/>
                    <w:right w:val="none" w:sz="0" w:space="0" w:color="auto"/>
                  </w:divBdr>
                </w:div>
                <w:div w:id="2146308252">
                  <w:marLeft w:val="0"/>
                  <w:marRight w:val="0"/>
                  <w:marTop w:val="0"/>
                  <w:marBottom w:val="0"/>
                  <w:divBdr>
                    <w:top w:val="none" w:sz="0" w:space="0" w:color="auto"/>
                    <w:left w:val="none" w:sz="0" w:space="0" w:color="auto"/>
                    <w:bottom w:val="none" w:sz="0" w:space="0" w:color="auto"/>
                    <w:right w:val="none" w:sz="0" w:space="0" w:color="auto"/>
                  </w:divBdr>
                </w:div>
                <w:div w:id="795294714">
                  <w:marLeft w:val="0"/>
                  <w:marRight w:val="0"/>
                  <w:marTop w:val="0"/>
                  <w:marBottom w:val="0"/>
                  <w:divBdr>
                    <w:top w:val="none" w:sz="0" w:space="0" w:color="auto"/>
                    <w:left w:val="none" w:sz="0" w:space="0" w:color="auto"/>
                    <w:bottom w:val="none" w:sz="0" w:space="0" w:color="auto"/>
                    <w:right w:val="none" w:sz="0" w:space="0" w:color="auto"/>
                  </w:divBdr>
                </w:div>
                <w:div w:id="308285111">
                  <w:marLeft w:val="0"/>
                  <w:marRight w:val="0"/>
                  <w:marTop w:val="0"/>
                  <w:marBottom w:val="0"/>
                  <w:divBdr>
                    <w:top w:val="none" w:sz="0" w:space="0" w:color="auto"/>
                    <w:left w:val="none" w:sz="0" w:space="0" w:color="auto"/>
                    <w:bottom w:val="none" w:sz="0" w:space="0" w:color="auto"/>
                    <w:right w:val="none" w:sz="0" w:space="0" w:color="auto"/>
                  </w:divBdr>
                </w:div>
                <w:div w:id="252473803">
                  <w:marLeft w:val="0"/>
                  <w:marRight w:val="0"/>
                  <w:marTop w:val="0"/>
                  <w:marBottom w:val="0"/>
                  <w:divBdr>
                    <w:top w:val="none" w:sz="0" w:space="0" w:color="auto"/>
                    <w:left w:val="none" w:sz="0" w:space="0" w:color="auto"/>
                    <w:bottom w:val="none" w:sz="0" w:space="0" w:color="auto"/>
                    <w:right w:val="none" w:sz="0" w:space="0" w:color="auto"/>
                  </w:divBdr>
                </w:div>
                <w:div w:id="847871633">
                  <w:marLeft w:val="0"/>
                  <w:marRight w:val="0"/>
                  <w:marTop w:val="0"/>
                  <w:marBottom w:val="0"/>
                  <w:divBdr>
                    <w:top w:val="none" w:sz="0" w:space="0" w:color="auto"/>
                    <w:left w:val="none" w:sz="0" w:space="0" w:color="auto"/>
                    <w:bottom w:val="none" w:sz="0" w:space="0" w:color="auto"/>
                    <w:right w:val="none" w:sz="0" w:space="0" w:color="auto"/>
                  </w:divBdr>
                </w:div>
                <w:div w:id="798451856">
                  <w:marLeft w:val="0"/>
                  <w:marRight w:val="0"/>
                  <w:marTop w:val="0"/>
                  <w:marBottom w:val="0"/>
                  <w:divBdr>
                    <w:top w:val="none" w:sz="0" w:space="0" w:color="auto"/>
                    <w:left w:val="none" w:sz="0" w:space="0" w:color="auto"/>
                    <w:bottom w:val="none" w:sz="0" w:space="0" w:color="auto"/>
                    <w:right w:val="none" w:sz="0" w:space="0" w:color="auto"/>
                  </w:divBdr>
                </w:div>
                <w:div w:id="1936863016">
                  <w:marLeft w:val="0"/>
                  <w:marRight w:val="0"/>
                  <w:marTop w:val="0"/>
                  <w:marBottom w:val="0"/>
                  <w:divBdr>
                    <w:top w:val="none" w:sz="0" w:space="0" w:color="auto"/>
                    <w:left w:val="none" w:sz="0" w:space="0" w:color="auto"/>
                    <w:bottom w:val="none" w:sz="0" w:space="0" w:color="auto"/>
                    <w:right w:val="none" w:sz="0" w:space="0" w:color="auto"/>
                  </w:divBdr>
                </w:div>
                <w:div w:id="687145174">
                  <w:marLeft w:val="0"/>
                  <w:marRight w:val="0"/>
                  <w:marTop w:val="0"/>
                  <w:marBottom w:val="0"/>
                  <w:divBdr>
                    <w:top w:val="none" w:sz="0" w:space="0" w:color="auto"/>
                    <w:left w:val="none" w:sz="0" w:space="0" w:color="auto"/>
                    <w:bottom w:val="none" w:sz="0" w:space="0" w:color="auto"/>
                    <w:right w:val="none" w:sz="0" w:space="0" w:color="auto"/>
                  </w:divBdr>
                </w:div>
                <w:div w:id="649602383">
                  <w:marLeft w:val="0"/>
                  <w:marRight w:val="0"/>
                  <w:marTop w:val="0"/>
                  <w:marBottom w:val="0"/>
                  <w:divBdr>
                    <w:top w:val="none" w:sz="0" w:space="0" w:color="auto"/>
                    <w:left w:val="none" w:sz="0" w:space="0" w:color="auto"/>
                    <w:bottom w:val="none" w:sz="0" w:space="0" w:color="auto"/>
                    <w:right w:val="none" w:sz="0" w:space="0" w:color="auto"/>
                  </w:divBdr>
                </w:div>
                <w:div w:id="1445879350">
                  <w:marLeft w:val="0"/>
                  <w:marRight w:val="0"/>
                  <w:marTop w:val="0"/>
                  <w:marBottom w:val="0"/>
                  <w:divBdr>
                    <w:top w:val="none" w:sz="0" w:space="0" w:color="auto"/>
                    <w:left w:val="none" w:sz="0" w:space="0" w:color="auto"/>
                    <w:bottom w:val="none" w:sz="0" w:space="0" w:color="auto"/>
                    <w:right w:val="none" w:sz="0" w:space="0" w:color="auto"/>
                  </w:divBdr>
                </w:div>
                <w:div w:id="1788965684">
                  <w:marLeft w:val="0"/>
                  <w:marRight w:val="0"/>
                  <w:marTop w:val="0"/>
                  <w:marBottom w:val="0"/>
                  <w:divBdr>
                    <w:top w:val="none" w:sz="0" w:space="0" w:color="auto"/>
                    <w:left w:val="none" w:sz="0" w:space="0" w:color="auto"/>
                    <w:bottom w:val="none" w:sz="0" w:space="0" w:color="auto"/>
                    <w:right w:val="none" w:sz="0" w:space="0" w:color="auto"/>
                  </w:divBdr>
                </w:div>
                <w:div w:id="946930330">
                  <w:marLeft w:val="0"/>
                  <w:marRight w:val="0"/>
                  <w:marTop w:val="0"/>
                  <w:marBottom w:val="0"/>
                  <w:divBdr>
                    <w:top w:val="none" w:sz="0" w:space="0" w:color="auto"/>
                    <w:left w:val="none" w:sz="0" w:space="0" w:color="auto"/>
                    <w:bottom w:val="none" w:sz="0" w:space="0" w:color="auto"/>
                    <w:right w:val="none" w:sz="0" w:space="0" w:color="auto"/>
                  </w:divBdr>
                </w:div>
                <w:div w:id="1338311243">
                  <w:marLeft w:val="0"/>
                  <w:marRight w:val="0"/>
                  <w:marTop w:val="0"/>
                  <w:marBottom w:val="0"/>
                  <w:divBdr>
                    <w:top w:val="none" w:sz="0" w:space="0" w:color="auto"/>
                    <w:left w:val="none" w:sz="0" w:space="0" w:color="auto"/>
                    <w:bottom w:val="none" w:sz="0" w:space="0" w:color="auto"/>
                    <w:right w:val="none" w:sz="0" w:space="0" w:color="auto"/>
                  </w:divBdr>
                </w:div>
                <w:div w:id="20461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s.mit.edu/Plato/republi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source.org/wiki/Fragments_of_Parmenides)" TargetMode="External"/><Relationship Id="rId12" Type="http://schemas.openxmlformats.org/officeDocument/2006/relationships/hyperlink" Target="https://ebooks.adelaide.edu.au/h/hume/david/h92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aclitusfragments.com" TargetMode="External"/><Relationship Id="rId11" Type="http://schemas.openxmlformats.org/officeDocument/2006/relationships/hyperlink" Target="https://www.earlymoderntexts.com/authors/leibniz)" TargetMode="External"/><Relationship Id="rId5" Type="http://schemas.openxmlformats.org/officeDocument/2006/relationships/hyperlink" Target="http://classics.mit.edu/Plato/apology.html)" TargetMode="External"/><Relationship Id="rId10" Type="http://schemas.openxmlformats.org/officeDocument/2006/relationships/hyperlink" Target="https://ebooks.adelaide.edu.au/l/locke/john/l81u/index.html" TargetMode="External"/><Relationship Id="rId4" Type="http://schemas.openxmlformats.org/officeDocument/2006/relationships/webSettings" Target="webSettings.xml"/><Relationship Id="rId9" Type="http://schemas.openxmlformats.org/officeDocument/2006/relationships/hyperlink" Target="https://ebooks.adelaide.edu.au/a/aristotle/metaphysic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1775</Words>
  <Characters>8969</Characters>
  <Application>Microsoft Office Word</Application>
  <DocSecurity>0</DocSecurity>
  <Lines>213</Lines>
  <Paragraphs>20</Paragraphs>
  <ScaleCrop>false</ScaleCrop>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Van Weelden</dc:creator>
  <cp:keywords/>
  <dc:description/>
  <cp:lastModifiedBy>Joey Van Weelden</cp:lastModifiedBy>
  <cp:revision>3</cp:revision>
  <dcterms:created xsi:type="dcterms:W3CDTF">2020-10-22T06:24:00Z</dcterms:created>
  <dcterms:modified xsi:type="dcterms:W3CDTF">2020-10-22T06:25:00Z</dcterms:modified>
</cp:coreProperties>
</file>